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E42" w:rsidRPr="00CC5EC9" w:rsidRDefault="00725E42" w:rsidP="00CC5EC9">
      <w:pPr>
        <w:pStyle w:val="Paragraphedeliste"/>
        <w:spacing w:after="0" w:line="240" w:lineRule="auto"/>
        <w:ind w:left="360"/>
        <w:jc w:val="center"/>
        <w:rPr>
          <w:rFonts w:ascii="Times New Roman" w:hAnsi="Times New Roman"/>
          <w:caps/>
          <w:sz w:val="28"/>
          <w:szCs w:val="24"/>
          <w:u w:val="single"/>
        </w:rPr>
      </w:pPr>
      <w:r w:rsidRPr="00CC5EC9">
        <w:rPr>
          <w:rFonts w:ascii="Times New Roman" w:hAnsi="Times New Roman"/>
          <w:caps/>
          <w:sz w:val="28"/>
          <w:szCs w:val="24"/>
          <w:u w:val="single"/>
        </w:rPr>
        <w:t>Thèmes pour l’oral de la maturita de chimie</w:t>
      </w:r>
    </w:p>
    <w:p w:rsidR="00725E42" w:rsidRPr="00CC5EC9" w:rsidRDefault="00725E42" w:rsidP="00725E42">
      <w:pPr>
        <w:pStyle w:val="Paragraphedeliste"/>
        <w:spacing w:after="0" w:line="240" w:lineRule="auto"/>
        <w:ind w:left="360"/>
        <w:jc w:val="center"/>
        <w:rPr>
          <w:rFonts w:ascii="Times New Roman" w:hAnsi="Times New Roman"/>
          <w:caps/>
          <w:sz w:val="28"/>
          <w:szCs w:val="24"/>
          <w:u w:val="single"/>
        </w:rPr>
      </w:pPr>
      <w:r w:rsidRPr="00CC5EC9">
        <w:rPr>
          <w:rFonts w:ascii="Times New Roman" w:hAnsi="Times New Roman"/>
          <w:caps/>
          <w:sz w:val="28"/>
          <w:szCs w:val="24"/>
          <w:u w:val="single"/>
        </w:rPr>
        <w:t>bilingue franco-tchèque 2018/2019</w:t>
      </w:r>
    </w:p>
    <w:p w:rsidR="00725E42" w:rsidRDefault="00725E42" w:rsidP="00725E42"/>
    <w:p w:rsidR="00725E42" w:rsidRDefault="00725E42" w:rsidP="00725E42"/>
    <w:p w:rsidR="00725E42" w:rsidRDefault="00725E42" w:rsidP="00725E42">
      <w:pPr>
        <w:numPr>
          <w:ilvl w:val="0"/>
          <w:numId w:val="1"/>
        </w:numPr>
        <w:spacing w:before="120" w:after="120"/>
        <w:rPr>
          <w:smallCaps/>
        </w:rPr>
      </w:pPr>
      <w:r>
        <w:rPr>
          <w:smallCaps/>
        </w:rPr>
        <w:t>La structure de l’atome</w:t>
      </w:r>
    </w:p>
    <w:p w:rsidR="00725E42" w:rsidRDefault="00725E42" w:rsidP="00725E42">
      <w:pPr>
        <w:pStyle w:val="Zkladntextodsazen"/>
        <w:spacing w:after="0" w:line="240" w:lineRule="auto"/>
        <w:ind w:left="720"/>
        <w:jc w:val="both"/>
        <w:rPr>
          <w:lang w:val="fr-FR"/>
        </w:rPr>
      </w:pPr>
      <w:r>
        <w:rPr>
          <w:lang w:val="fr-FR"/>
        </w:rPr>
        <w:t>Le noyau atomique et l’élé</w:t>
      </w:r>
      <w:bookmarkStart w:id="0" w:name="_GoBack"/>
      <w:bookmarkEnd w:id="0"/>
      <w:r>
        <w:rPr>
          <w:lang w:val="fr-FR"/>
        </w:rPr>
        <w:t>ment chimique. L’expérience de Rutherford. L’organisation du nuage électronique. Les couches électroniques, les règles de remplissage. L’atome de Bohr.</w:t>
      </w:r>
    </w:p>
    <w:p w:rsidR="00725E42" w:rsidRDefault="00725E42" w:rsidP="00725E42">
      <w:r>
        <w:tab/>
      </w:r>
    </w:p>
    <w:p w:rsidR="00725E42" w:rsidRDefault="00725E42" w:rsidP="00725E42">
      <w:pPr>
        <w:numPr>
          <w:ilvl w:val="0"/>
          <w:numId w:val="1"/>
        </w:numPr>
        <w:spacing w:before="120" w:after="120"/>
        <w:rPr>
          <w:smallCaps/>
        </w:rPr>
      </w:pPr>
      <w:r>
        <w:rPr>
          <w:smallCaps/>
        </w:rPr>
        <w:t>La classification périodique des éléments</w:t>
      </w:r>
    </w:p>
    <w:p w:rsidR="00725E42" w:rsidRDefault="00725E42" w:rsidP="00725E42">
      <w:pPr>
        <w:pStyle w:val="Zkladntextodsazen"/>
        <w:spacing w:after="0" w:line="240" w:lineRule="auto"/>
        <w:ind w:left="720"/>
        <w:jc w:val="both"/>
        <w:rPr>
          <w:lang w:val="fr-FR"/>
        </w:rPr>
      </w:pPr>
      <w:r>
        <w:rPr>
          <w:lang w:val="fr-FR"/>
        </w:rPr>
        <w:t>Historique. Périodicité. Configuration électronique. Les familles chimiques. Ion ou molécule formés par un atome.</w:t>
      </w:r>
    </w:p>
    <w:p w:rsidR="00725E42" w:rsidRDefault="00725E42" w:rsidP="00725E42">
      <w:pPr>
        <w:spacing w:after="120"/>
        <w:ind w:left="709"/>
      </w:pPr>
    </w:p>
    <w:p w:rsidR="00725E42" w:rsidRDefault="00725E42" w:rsidP="00725E42">
      <w:pPr>
        <w:numPr>
          <w:ilvl w:val="0"/>
          <w:numId w:val="1"/>
        </w:numPr>
        <w:spacing w:before="120" w:after="120"/>
        <w:rPr>
          <w:smallCaps/>
        </w:rPr>
      </w:pPr>
      <w:r>
        <w:rPr>
          <w:smallCaps/>
        </w:rPr>
        <w:t>Les méthodes de séparation utilisées au laboratoire de chimie</w:t>
      </w:r>
    </w:p>
    <w:p w:rsidR="00725E42" w:rsidRDefault="00725E42" w:rsidP="00725E42">
      <w:pPr>
        <w:pStyle w:val="Paragraphedeliste"/>
        <w:spacing w:after="0" w:line="240" w:lineRule="auto"/>
        <w:rPr>
          <w:rFonts w:ascii="Times New Roman" w:hAnsi="Times New Roman"/>
          <w:szCs w:val="24"/>
        </w:rPr>
      </w:pPr>
      <w:r>
        <w:rPr>
          <w:rFonts w:ascii="Times New Roman" w:hAnsi="Times New Roman"/>
          <w:szCs w:val="24"/>
        </w:rPr>
        <w:t xml:space="preserve">Les techniques de séparation de mélanges homogènes (évaporation, distillation, CCM) et de mélanges hétérogènes (décantation, filtration) </w:t>
      </w:r>
      <w:r>
        <w:rPr>
          <w:rFonts w:ascii="Times New Roman" w:hAnsi="Times New Roman"/>
        </w:rPr>
        <w:t>– matériels et méthodes</w:t>
      </w:r>
      <w:r>
        <w:rPr>
          <w:rFonts w:ascii="Times New Roman" w:hAnsi="Times New Roman"/>
          <w:szCs w:val="24"/>
        </w:rPr>
        <w:t>.</w:t>
      </w:r>
    </w:p>
    <w:p w:rsidR="00725E42" w:rsidRDefault="00725E42" w:rsidP="00725E42">
      <w:pPr>
        <w:pStyle w:val="Paragraphedeliste"/>
        <w:spacing w:after="120" w:line="240" w:lineRule="auto"/>
        <w:ind w:left="0"/>
        <w:rPr>
          <w:rFonts w:ascii="Times New Roman" w:hAnsi="Times New Roman"/>
          <w:sz w:val="24"/>
          <w:szCs w:val="24"/>
        </w:rPr>
      </w:pPr>
      <w:r>
        <w:rPr>
          <w:rFonts w:ascii="Times New Roman" w:hAnsi="Times New Roman"/>
          <w:sz w:val="24"/>
          <w:szCs w:val="24"/>
        </w:rPr>
        <w:tab/>
      </w:r>
    </w:p>
    <w:p w:rsidR="00725E42" w:rsidRDefault="00725E42" w:rsidP="00725E42">
      <w:pPr>
        <w:numPr>
          <w:ilvl w:val="0"/>
          <w:numId w:val="1"/>
        </w:numPr>
        <w:spacing w:before="120" w:after="120"/>
        <w:rPr>
          <w:smallCaps/>
        </w:rPr>
      </w:pPr>
      <w:r>
        <w:rPr>
          <w:smallCaps/>
        </w:rPr>
        <w:t>Les hydrocarbures saturés et insatures</w:t>
      </w:r>
    </w:p>
    <w:p w:rsidR="00725E42" w:rsidRDefault="00725E42" w:rsidP="00725E42">
      <w:pPr>
        <w:ind w:left="720"/>
        <w:jc w:val="both"/>
        <w:rPr>
          <w:sz w:val="22"/>
        </w:rPr>
      </w:pPr>
      <w:r>
        <w:rPr>
          <w:sz w:val="22"/>
        </w:rPr>
        <w:t xml:space="preserve">La structure des alcanes et leurs propriétés physiques. Nomenclature. Formules semi-développées et formules topologiques. Réactions : combustion, substitution. Modification du squelette carboné : le craquage et le reformage. La structure des hydrocarbures insaturés. Alcènes et alcynes </w:t>
      </w:r>
      <w:r>
        <w:t>–</w:t>
      </w:r>
      <w:r>
        <w:rPr>
          <w:sz w:val="22"/>
        </w:rPr>
        <w:t xml:space="preserve"> leurs propriétés physiques. Nomenclature. Formules semi-développées et formules topologiques. Réactions : substitution, addition, polymérisation.</w:t>
      </w:r>
    </w:p>
    <w:p w:rsidR="00725E42" w:rsidRDefault="00725E42" w:rsidP="00725E42">
      <w:pPr>
        <w:spacing w:after="120"/>
      </w:pPr>
      <w:r>
        <w:tab/>
      </w:r>
    </w:p>
    <w:p w:rsidR="00725E42" w:rsidRDefault="00725E42" w:rsidP="00725E42">
      <w:pPr>
        <w:numPr>
          <w:ilvl w:val="0"/>
          <w:numId w:val="1"/>
        </w:numPr>
        <w:spacing w:before="120" w:after="120"/>
        <w:rPr>
          <w:smallCaps/>
        </w:rPr>
      </w:pPr>
      <w:r>
        <w:rPr>
          <w:smallCaps/>
        </w:rPr>
        <w:t>La conductimétrie</w:t>
      </w:r>
    </w:p>
    <w:p w:rsidR="00725E42" w:rsidRDefault="00725E42" w:rsidP="00725E42">
      <w:pPr>
        <w:pStyle w:val="Zkladntextodsazen2"/>
      </w:pPr>
      <w:r>
        <w:t>Conductance et conductivité d’une solution ionique. Conductivité molaire ionique. Relation entre la conductivité d’une solution et les conductivités molaires ioniques. Détermination de la concentration inconnue d’une solution ionique ; aspects expérimentaux – matériel et méthodes.</w:t>
      </w:r>
    </w:p>
    <w:p w:rsidR="00725E42" w:rsidRDefault="00725E42" w:rsidP="00725E42">
      <w:pPr>
        <w:pStyle w:val="Zkladntextodsazen2"/>
      </w:pPr>
    </w:p>
    <w:p w:rsidR="00725E42" w:rsidRDefault="00725E42" w:rsidP="00725E42">
      <w:pPr>
        <w:numPr>
          <w:ilvl w:val="0"/>
          <w:numId w:val="1"/>
        </w:numPr>
        <w:spacing w:before="120" w:after="120"/>
        <w:rPr>
          <w:smallCaps/>
        </w:rPr>
      </w:pPr>
      <w:r>
        <w:rPr>
          <w:bCs/>
          <w:smallCaps/>
        </w:rPr>
        <w:t>Etat d’équilibre d’un système</w:t>
      </w:r>
    </w:p>
    <w:p w:rsidR="00725E42" w:rsidRDefault="00725E42" w:rsidP="00725E42">
      <w:pPr>
        <w:ind w:left="720"/>
        <w:jc w:val="both"/>
        <w:rPr>
          <w:sz w:val="22"/>
          <w:szCs w:val="22"/>
        </w:rPr>
      </w:pPr>
      <w:r>
        <w:rPr>
          <w:sz w:val="22"/>
          <w:szCs w:val="22"/>
        </w:rPr>
        <w:t>Définition du quotient de réaction Q</w:t>
      </w:r>
      <w:r>
        <w:rPr>
          <w:sz w:val="22"/>
          <w:szCs w:val="22"/>
          <w:vertAlign w:val="subscript"/>
        </w:rPr>
        <w:t xml:space="preserve">r, </w:t>
      </w:r>
      <w:r>
        <w:rPr>
          <w:sz w:val="22"/>
          <w:szCs w:val="22"/>
        </w:rPr>
        <w:t>ses propriétés. Quotient de réaction dans l’état d’équilibre Q</w:t>
      </w:r>
      <w:r>
        <w:rPr>
          <w:sz w:val="22"/>
          <w:szCs w:val="22"/>
          <w:vertAlign w:val="subscript"/>
        </w:rPr>
        <w:t>r,eq.</w:t>
      </w:r>
      <w:r>
        <w:rPr>
          <w:sz w:val="22"/>
          <w:szCs w:val="22"/>
        </w:rPr>
        <w:t>. Constante d’équilibre K associée à l’équation d’une réaction. Taux d’avancement final dans l’état d’équilibre.</w:t>
      </w:r>
    </w:p>
    <w:p w:rsidR="00725E42" w:rsidRDefault="00725E42" w:rsidP="00725E42">
      <w:pPr>
        <w:spacing w:after="120"/>
      </w:pPr>
      <w:r>
        <w:tab/>
      </w:r>
    </w:p>
    <w:p w:rsidR="00725E42" w:rsidRDefault="00725E42" w:rsidP="00725E42">
      <w:pPr>
        <w:numPr>
          <w:ilvl w:val="0"/>
          <w:numId w:val="1"/>
        </w:numPr>
        <w:spacing w:before="120" w:after="120"/>
        <w:rPr>
          <w:smallCaps/>
        </w:rPr>
      </w:pPr>
      <w:r>
        <w:rPr>
          <w:smallCaps/>
        </w:rPr>
        <w:t>Les réactions acide-base</w:t>
      </w:r>
    </w:p>
    <w:p w:rsidR="00725E42" w:rsidRDefault="00725E42" w:rsidP="00725E42">
      <w:pPr>
        <w:pStyle w:val="Zkladntextodsazen3"/>
        <w:ind w:left="720"/>
        <w:jc w:val="both"/>
        <w:rPr>
          <w:sz w:val="22"/>
        </w:rPr>
      </w:pPr>
      <w:r>
        <w:rPr>
          <w:sz w:val="22"/>
        </w:rPr>
        <w:t>Les acides et les bases selon la théorie de Brönsted. Les couples acides/bases, la réaction acido-basique. pH d’une solution ; échelle de pH. Constante d’acidité Ka ; pKa. Exemple de la réaction d’un acide fort et d’une base forte recherche du taux d’avancement. Réactions acide faible-base forte, taux d’avancement. Constante d’équilibre d’une réaction acido-basique. Domaines de prédominance</w:t>
      </w:r>
      <w:r>
        <w:t xml:space="preserve">. </w:t>
      </w:r>
      <w:r>
        <w:rPr>
          <w:sz w:val="22"/>
        </w:rPr>
        <w:t>Prévision du sens d’une réaction acido-basique.</w:t>
      </w:r>
    </w:p>
    <w:p w:rsidR="00725E42" w:rsidRDefault="00725E42" w:rsidP="00725E42">
      <w:pPr>
        <w:spacing w:after="120"/>
      </w:pPr>
      <w:r>
        <w:tab/>
      </w:r>
    </w:p>
    <w:p w:rsidR="00725E42" w:rsidRDefault="00725E42" w:rsidP="00725E42">
      <w:pPr>
        <w:spacing w:after="120"/>
      </w:pPr>
      <w:r>
        <w:br w:type="page"/>
      </w:r>
    </w:p>
    <w:p w:rsidR="00725E42" w:rsidRDefault="00725E42" w:rsidP="00725E42">
      <w:pPr>
        <w:numPr>
          <w:ilvl w:val="0"/>
          <w:numId w:val="1"/>
        </w:numPr>
        <w:spacing w:before="120" w:after="120"/>
        <w:rPr>
          <w:smallCaps/>
        </w:rPr>
      </w:pPr>
      <w:r>
        <w:rPr>
          <w:smallCaps/>
        </w:rPr>
        <w:lastRenderedPageBreak/>
        <w:t>Les réactions d’oxydo-réduction</w:t>
      </w:r>
    </w:p>
    <w:p w:rsidR="00725E42" w:rsidRDefault="00725E42" w:rsidP="00725E42">
      <w:pPr>
        <w:pStyle w:val="Zkladntext2"/>
        <w:ind w:left="720"/>
        <w:jc w:val="both"/>
        <w:rPr>
          <w:sz w:val="22"/>
          <w:lang w:val="fr-FR"/>
        </w:rPr>
      </w:pPr>
      <w:r>
        <w:rPr>
          <w:sz w:val="22"/>
          <w:lang w:val="fr-FR"/>
        </w:rPr>
        <w:t>Définitions des notions : oxydation, réduction, oxydant, réducteur. Réactions des acides sur les métaux. Classification qualitative des couples oxydant/réducteur. Nombre d’oxydation. Equilibrage des équations traduisant les réactions d’oxydoréduction.</w:t>
      </w:r>
    </w:p>
    <w:p w:rsidR="00725E42" w:rsidRDefault="00725E42" w:rsidP="00725E42">
      <w:pPr>
        <w:spacing w:before="120" w:after="120"/>
      </w:pPr>
    </w:p>
    <w:p w:rsidR="00725E42" w:rsidRDefault="00725E42" w:rsidP="00725E42">
      <w:pPr>
        <w:numPr>
          <w:ilvl w:val="0"/>
          <w:numId w:val="1"/>
        </w:numPr>
        <w:spacing w:before="120" w:after="120"/>
        <w:rPr>
          <w:smallCaps/>
        </w:rPr>
      </w:pPr>
      <w:r>
        <w:rPr>
          <w:smallCaps/>
        </w:rPr>
        <w:t>Les titrages pH-métriques et colorimétriques</w:t>
      </w:r>
    </w:p>
    <w:p w:rsidR="00725E42" w:rsidRDefault="00725E42" w:rsidP="00725E42">
      <w:pPr>
        <w:pStyle w:val="Zkladntextodsazen2"/>
      </w:pPr>
      <w:r>
        <w:t xml:space="preserve">Principe général d’un titrage. Equation-bilan. Point d’équivalence, sa détection et sa détermination ; suivi pH-métrique ; indicateurs colorés.  Aspects expérimentaux – matériel et verrerie dédiés. Domaines d’utilisation. </w:t>
      </w:r>
    </w:p>
    <w:p w:rsidR="00725E42" w:rsidRDefault="00725E42" w:rsidP="00725E42">
      <w:pPr>
        <w:spacing w:after="120"/>
      </w:pPr>
      <w:r>
        <w:tab/>
      </w:r>
    </w:p>
    <w:p w:rsidR="00725E42" w:rsidRDefault="00725E42" w:rsidP="00725E42">
      <w:pPr>
        <w:numPr>
          <w:ilvl w:val="0"/>
          <w:numId w:val="1"/>
        </w:numPr>
        <w:spacing w:before="120" w:after="120"/>
        <w:rPr>
          <w:smallCaps/>
        </w:rPr>
      </w:pPr>
      <w:r>
        <w:rPr>
          <w:smallCaps/>
        </w:rPr>
        <w:t>Les titrages conductimétriques</w:t>
      </w:r>
    </w:p>
    <w:p w:rsidR="00725E42" w:rsidRDefault="00725E42" w:rsidP="00725E42">
      <w:pPr>
        <w:pStyle w:val="Zkladntextodsazen2"/>
      </w:pPr>
      <w:r>
        <w:t>Principe général d’un titrage. Equation-bilan. Point d’équivalence et sa détermination. Aspects expérimentaux – matériel et verrerie dédiés. Domaines d’utilisation.</w:t>
      </w:r>
    </w:p>
    <w:p w:rsidR="00725E42" w:rsidRDefault="00725E42" w:rsidP="00725E42">
      <w:pPr>
        <w:spacing w:after="120"/>
      </w:pPr>
      <w:r>
        <w:tab/>
      </w:r>
    </w:p>
    <w:p w:rsidR="00725E42" w:rsidRDefault="00725E42" w:rsidP="00725E42">
      <w:pPr>
        <w:numPr>
          <w:ilvl w:val="0"/>
          <w:numId w:val="1"/>
        </w:numPr>
        <w:spacing w:before="120" w:after="120"/>
        <w:rPr>
          <w:smallCaps/>
        </w:rPr>
      </w:pPr>
      <w:r>
        <w:rPr>
          <w:smallCaps/>
        </w:rPr>
        <w:t>Les alcools</w:t>
      </w:r>
    </w:p>
    <w:p w:rsidR="00725E42" w:rsidRDefault="00725E42" w:rsidP="00725E42">
      <w:pPr>
        <w:pStyle w:val="Zkladntextodsazen2"/>
      </w:pPr>
      <w:r>
        <w:t>Le groupe fonctionnel des alcools, les 3 classes d’alcools. Nomenclature. Formules semi-développées et formules topologiques. Préparation. Réactions d’oxydation ménagée. Déshydrogénation catalytique. Tests caractéristiques. Intérêt pratique.</w:t>
      </w:r>
    </w:p>
    <w:p w:rsidR="00725E42" w:rsidRDefault="00725E42" w:rsidP="00725E42">
      <w:pPr>
        <w:spacing w:after="120"/>
      </w:pPr>
      <w:r>
        <w:tab/>
      </w:r>
    </w:p>
    <w:p w:rsidR="00725E42" w:rsidRDefault="00725E42" w:rsidP="00725E42">
      <w:pPr>
        <w:numPr>
          <w:ilvl w:val="0"/>
          <w:numId w:val="1"/>
        </w:numPr>
        <w:spacing w:before="120" w:after="120"/>
        <w:rPr>
          <w:smallCaps/>
        </w:rPr>
      </w:pPr>
      <w:r>
        <w:rPr>
          <w:smallCaps/>
        </w:rPr>
        <w:t>Les aldéhydes et les cétones</w:t>
      </w:r>
    </w:p>
    <w:p w:rsidR="00725E42" w:rsidRDefault="00725E42" w:rsidP="00725E42">
      <w:pPr>
        <w:ind w:left="720"/>
        <w:jc w:val="both"/>
        <w:rPr>
          <w:sz w:val="22"/>
        </w:rPr>
      </w:pPr>
      <w:r>
        <w:rPr>
          <w:sz w:val="22"/>
        </w:rPr>
        <w:t>Le groupe carbonyle. Structure et nomenclature des aldéhydes et des cétones. Formules semi-développées et formules topologiques. Propriétes réductrices des aldéhydes. Préparation et réactions des aldéhydes et des cétones. Tests caractéristiques. Intérêt pratique.</w:t>
      </w:r>
    </w:p>
    <w:p w:rsidR="00725E42" w:rsidRDefault="00725E42" w:rsidP="00725E42">
      <w:pPr>
        <w:ind w:left="720"/>
        <w:jc w:val="both"/>
        <w:rPr>
          <w:sz w:val="22"/>
        </w:rPr>
      </w:pPr>
    </w:p>
    <w:p w:rsidR="00725E42" w:rsidRDefault="00725E42" w:rsidP="00725E42">
      <w:pPr>
        <w:numPr>
          <w:ilvl w:val="0"/>
          <w:numId w:val="1"/>
        </w:numPr>
        <w:spacing w:before="120" w:after="120"/>
        <w:rPr>
          <w:smallCaps/>
        </w:rPr>
      </w:pPr>
      <w:r>
        <w:rPr>
          <w:smallCaps/>
        </w:rPr>
        <w:t>Les acides carboxyliques</w:t>
      </w:r>
    </w:p>
    <w:p w:rsidR="00725E42" w:rsidRDefault="00725E42" w:rsidP="00725E42">
      <w:pPr>
        <w:pStyle w:val="Zkladntextodsazen2"/>
      </w:pPr>
      <w:r>
        <w:t xml:space="preserve">Le groupe carboxyle, structure et propriétés acido-basiques. Nomenclature. Formules semi-développées et formules topologiques. Préparation. Tests caractéristiques. Intérêt pratique. </w:t>
      </w:r>
    </w:p>
    <w:p w:rsidR="00725E42" w:rsidRDefault="00725E42" w:rsidP="00725E42">
      <w:pPr>
        <w:ind w:left="357"/>
      </w:pPr>
    </w:p>
    <w:p w:rsidR="00725E42" w:rsidRDefault="00725E42" w:rsidP="00725E42">
      <w:pPr>
        <w:numPr>
          <w:ilvl w:val="0"/>
          <w:numId w:val="1"/>
        </w:numPr>
        <w:spacing w:before="120" w:after="120"/>
        <w:rPr>
          <w:smallCaps/>
        </w:rPr>
      </w:pPr>
      <w:r>
        <w:rPr>
          <w:smallCaps/>
        </w:rPr>
        <w:t>Les dérivés des acides carboxyliques</w:t>
      </w:r>
    </w:p>
    <w:p w:rsidR="00725E42" w:rsidRDefault="00725E42" w:rsidP="00725E42">
      <w:pPr>
        <w:pStyle w:val="Zkladntextodsazen2"/>
      </w:pPr>
      <w:r>
        <w:t>Esters, anhydrides d’acide, halogénures d’acyle – structure, nomenclature, propriétés. Formules semi-développées et formules topologiques. Tests caractéristiques. Intérêt pratique.</w:t>
      </w:r>
    </w:p>
    <w:p w:rsidR="00725E42" w:rsidRDefault="00725E42" w:rsidP="00725E42">
      <w:pPr>
        <w:pStyle w:val="Zkladntextodsazen2"/>
        <w:ind w:hanging="720"/>
      </w:pPr>
      <w:r>
        <w:tab/>
      </w:r>
    </w:p>
    <w:p w:rsidR="00725E42" w:rsidRDefault="00725E42" w:rsidP="00725E42">
      <w:pPr>
        <w:numPr>
          <w:ilvl w:val="0"/>
          <w:numId w:val="1"/>
        </w:numPr>
        <w:spacing w:before="120" w:after="120"/>
        <w:rPr>
          <w:smallCaps/>
        </w:rPr>
      </w:pPr>
      <w:r>
        <w:rPr>
          <w:smallCaps/>
        </w:rPr>
        <w:t>Le passage d’un groupe caractéristique à un autre en chimie organique</w:t>
      </w:r>
    </w:p>
    <w:p w:rsidR="00725E42" w:rsidRDefault="00725E42" w:rsidP="00725E42">
      <w:pPr>
        <w:pStyle w:val="Zkladntext"/>
        <w:ind w:left="720"/>
        <w:jc w:val="both"/>
      </w:pPr>
      <w:r>
        <w:t>Les familles de composés : amines, composés halogénés, alcools, aldéhydes, cétones, acides carboxyliques. Passage du groupe -OH à un autre groupe (-CHO, -COOH, -Cl). Passage du groupe -CHO au groupe -COOH et du groupe halogéno -X au groupe amino -NH</w:t>
      </w:r>
      <w:r>
        <w:rPr>
          <w:vertAlign w:val="subscript"/>
        </w:rPr>
        <w:t>2</w:t>
      </w:r>
      <w:r>
        <w:t>.</w:t>
      </w:r>
    </w:p>
    <w:p w:rsidR="00725E42" w:rsidRDefault="00725E42" w:rsidP="00725E42">
      <w:pPr>
        <w:spacing w:after="120"/>
        <w:ind w:left="357"/>
      </w:pPr>
      <w:r>
        <w:tab/>
      </w:r>
    </w:p>
    <w:p w:rsidR="00725E42" w:rsidRDefault="00725E42" w:rsidP="00725E42">
      <w:pPr>
        <w:numPr>
          <w:ilvl w:val="0"/>
          <w:numId w:val="1"/>
        </w:numPr>
        <w:spacing w:before="120" w:after="120"/>
        <w:rPr>
          <w:smallCaps/>
        </w:rPr>
      </w:pPr>
      <w:r>
        <w:rPr>
          <w:smallCaps/>
        </w:rPr>
        <w:t>La cinétique chimique. Facteurs cinétiques</w:t>
      </w:r>
    </w:p>
    <w:p w:rsidR="00725E42" w:rsidRDefault="00725E42" w:rsidP="00725E42">
      <w:pPr>
        <w:pStyle w:val="Zkladntextodsazen2"/>
      </w:pPr>
      <w:r>
        <w:t>Classification des réactions chimiques selon leur vitesse. Facteurs cinétiques : Influence de la concentration des réactifs sur la cinétique d’une réaction, influence de la température. Interprétation microscopique : chocs efficaces ; parallèle avec les facteurs cinétiques</w:t>
      </w:r>
    </w:p>
    <w:p w:rsidR="00725E42" w:rsidRDefault="00725E42" w:rsidP="00725E42">
      <w:pPr>
        <w:pStyle w:val="Zkladntextodsazen2"/>
        <w:spacing w:after="120"/>
      </w:pPr>
      <w:r>
        <w:br w:type="page"/>
      </w:r>
    </w:p>
    <w:p w:rsidR="00725E42" w:rsidRDefault="00725E42" w:rsidP="00725E42">
      <w:pPr>
        <w:numPr>
          <w:ilvl w:val="0"/>
          <w:numId w:val="1"/>
        </w:numPr>
        <w:spacing w:before="120" w:after="120"/>
        <w:jc w:val="both"/>
        <w:rPr>
          <w:smallCaps/>
        </w:rPr>
      </w:pPr>
      <w:r>
        <w:rPr>
          <w:smallCaps/>
        </w:rPr>
        <w:lastRenderedPageBreak/>
        <w:t>Suivi temporel d’une transformation chimique</w:t>
      </w:r>
    </w:p>
    <w:p w:rsidR="00725E42" w:rsidRDefault="00725E42" w:rsidP="00725E42">
      <w:pPr>
        <w:pStyle w:val="Paragraphedeliste"/>
        <w:spacing w:before="120" w:after="120" w:line="240" w:lineRule="auto"/>
        <w:jc w:val="both"/>
        <w:rPr>
          <w:rFonts w:ascii="Times New Roman" w:hAnsi="Times New Roman"/>
          <w:szCs w:val="24"/>
        </w:rPr>
      </w:pPr>
      <w:r>
        <w:rPr>
          <w:rFonts w:ascii="Times New Roman" w:hAnsi="Times New Roman"/>
          <w:szCs w:val="24"/>
        </w:rPr>
        <w:t>Vitesse volumique de réaction – temps de demi-réaction, définitions. Méthodes de suivi utilisées en cinétique</w:t>
      </w:r>
      <w:r>
        <w:rPr>
          <w:rFonts w:ascii="Times New Roman" w:hAnsi="Times New Roman"/>
        </w:rPr>
        <w:t> : aspects expérimentaux – matériel et méthodes</w:t>
      </w:r>
      <w:r>
        <w:rPr>
          <w:rFonts w:ascii="Times New Roman" w:hAnsi="Times New Roman"/>
          <w:szCs w:val="24"/>
        </w:rPr>
        <w:t>. Détermination  graphique et numérique de la vitesse volumique.</w:t>
      </w:r>
    </w:p>
    <w:p w:rsidR="00725E42" w:rsidRDefault="00725E42" w:rsidP="00725E42">
      <w:pPr>
        <w:pStyle w:val="Paragraphedeliste"/>
        <w:spacing w:before="120" w:after="120" w:line="240" w:lineRule="auto"/>
        <w:rPr>
          <w:rFonts w:ascii="Times New Roman" w:hAnsi="Times New Roman"/>
          <w:szCs w:val="24"/>
        </w:rPr>
      </w:pPr>
    </w:p>
    <w:p w:rsidR="00725E42" w:rsidRDefault="00725E42" w:rsidP="00725E42">
      <w:pPr>
        <w:numPr>
          <w:ilvl w:val="0"/>
          <w:numId w:val="1"/>
        </w:numPr>
        <w:spacing w:before="120" w:after="120"/>
        <w:rPr>
          <w:smallCaps/>
        </w:rPr>
      </w:pPr>
      <w:r>
        <w:rPr>
          <w:smallCaps/>
        </w:rPr>
        <w:t>La réaction d’estérification-hydrolyse</w:t>
      </w:r>
    </w:p>
    <w:p w:rsidR="00725E42" w:rsidRDefault="00725E42" w:rsidP="00725E42">
      <w:pPr>
        <w:pStyle w:val="Zkladntextodsazen2"/>
      </w:pPr>
      <w:r>
        <w:t>Réactions d’estérification et leurs caractéristiques. Equation de la réaction. Mécanisme. Equilibre d’estérification-hydrolyse. Influence de divers facteurs sur l’équilibre. Déplacement de l’équilibre, application à la préparation d’un ester : Aspects expérimentaux – matériel et verrerie dédiés.</w:t>
      </w:r>
    </w:p>
    <w:p w:rsidR="00725E42" w:rsidRDefault="00725E42" w:rsidP="00725E42">
      <w:pPr>
        <w:spacing w:after="120"/>
      </w:pPr>
      <w:r>
        <w:tab/>
      </w:r>
    </w:p>
    <w:p w:rsidR="00725E42" w:rsidRDefault="00725E42" w:rsidP="00725E42">
      <w:pPr>
        <w:numPr>
          <w:ilvl w:val="0"/>
          <w:numId w:val="1"/>
        </w:numPr>
        <w:spacing w:before="120" w:after="120"/>
        <w:rPr>
          <w:smallCaps/>
        </w:rPr>
      </w:pPr>
      <w:r>
        <w:rPr>
          <w:smallCaps/>
        </w:rPr>
        <w:t>La saponification des esters</w:t>
      </w:r>
    </w:p>
    <w:p w:rsidR="00725E42" w:rsidRDefault="00725E42" w:rsidP="00725E42">
      <w:pPr>
        <w:pStyle w:val="Zkladntextodsazen2"/>
      </w:pPr>
      <w:r>
        <w:t>Corps gras, triglycérides. Savons. Fabrication d’un savon ; aspects expérimentaux – matériel et verrerie dédiés. Caractéristiques chimiques de la saponification. Solubilité d’un savon et facteur dégradant son effet détergent. Mode d’action d’un savon.</w:t>
      </w:r>
    </w:p>
    <w:p w:rsidR="00725E42" w:rsidRDefault="00725E42" w:rsidP="00725E42">
      <w:pPr>
        <w:spacing w:after="120"/>
        <w:ind w:left="357"/>
      </w:pPr>
      <w:r>
        <w:tab/>
      </w:r>
    </w:p>
    <w:p w:rsidR="00725E42" w:rsidRDefault="00725E42" w:rsidP="00725E42">
      <w:pPr>
        <w:numPr>
          <w:ilvl w:val="0"/>
          <w:numId w:val="1"/>
        </w:numPr>
        <w:spacing w:before="120" w:after="120"/>
        <w:ind w:right="-142"/>
        <w:rPr>
          <w:smallCaps/>
        </w:rPr>
      </w:pPr>
      <w:r>
        <w:rPr>
          <w:smallCaps/>
        </w:rPr>
        <w:t>Des exemples de transformations spontanées : les piles et les accumulateurs</w:t>
      </w:r>
    </w:p>
    <w:p w:rsidR="00725E42" w:rsidRDefault="00725E42" w:rsidP="00725E42">
      <w:pPr>
        <w:pStyle w:val="Zkladntext2"/>
        <w:ind w:left="720"/>
        <w:jc w:val="both"/>
        <w:rPr>
          <w:sz w:val="22"/>
          <w:lang w:val="fr-FR"/>
        </w:rPr>
      </w:pPr>
      <w:r>
        <w:rPr>
          <w:sz w:val="22"/>
          <w:lang w:val="fr-FR"/>
        </w:rPr>
        <w:t>Critère général d’évolution spontané ; exemple d’une réaction d’oxydo-réduction. Constitution et fonctionnement d’une pile : le sens de circulation du courant électrique, rôle du pont salin, les réactions aux électrodes. La pile Daniell. Caractéristiques d’une pile, polarité des électrodes, transformation d’énergie au cours de son fonctionnement en générateur. Exemples de piles usuelles.</w:t>
      </w:r>
    </w:p>
    <w:p w:rsidR="00725E42" w:rsidRDefault="00725E42" w:rsidP="00725E42">
      <w:pPr>
        <w:pStyle w:val="Zkladntext2"/>
        <w:ind w:left="720"/>
        <w:jc w:val="both"/>
        <w:rPr>
          <w:sz w:val="22"/>
          <w:lang w:val="fr-FR"/>
        </w:rPr>
      </w:pPr>
    </w:p>
    <w:p w:rsidR="00725E42" w:rsidRDefault="00725E42" w:rsidP="00725E42">
      <w:pPr>
        <w:numPr>
          <w:ilvl w:val="0"/>
          <w:numId w:val="1"/>
        </w:numPr>
        <w:spacing w:before="120" w:after="120"/>
        <w:rPr>
          <w:smallCaps/>
        </w:rPr>
      </w:pPr>
      <w:r>
        <w:rPr>
          <w:smallCaps/>
        </w:rPr>
        <w:t>Un exemple de transformation forcée : l’électrolyse</w:t>
      </w:r>
    </w:p>
    <w:p w:rsidR="00725E42" w:rsidRDefault="00725E42" w:rsidP="00725E42">
      <w:pPr>
        <w:pStyle w:val="Zkladntext2"/>
        <w:ind w:left="720"/>
        <w:jc w:val="both"/>
        <w:rPr>
          <w:sz w:val="22"/>
          <w:lang w:val="fr-FR"/>
        </w:rPr>
      </w:pPr>
      <w:r>
        <w:rPr>
          <w:sz w:val="22"/>
          <w:lang w:val="fr-FR"/>
        </w:rPr>
        <w:t>Electrolyse de l’eau, les réactions aux électrodes, anode et cathode. Electrolyse de la solution de chlorure de sodium. Prévision des réactions aux électrodes. Etude quantitative de l’électrolyse. Applications pratiques et industrielles.</w:t>
      </w:r>
    </w:p>
    <w:p w:rsidR="00725E42" w:rsidRDefault="00725E42" w:rsidP="00725E42">
      <w:pPr>
        <w:pStyle w:val="Zkladntext2"/>
        <w:ind w:left="720"/>
        <w:jc w:val="both"/>
        <w:rPr>
          <w:sz w:val="22"/>
          <w:lang w:val="fr-FR"/>
        </w:rPr>
      </w:pPr>
    </w:p>
    <w:p w:rsidR="00725E42" w:rsidRDefault="00725E42" w:rsidP="00725E42">
      <w:pPr>
        <w:numPr>
          <w:ilvl w:val="0"/>
          <w:numId w:val="1"/>
        </w:numPr>
        <w:spacing w:before="120" w:after="120"/>
        <w:rPr>
          <w:smallCaps/>
        </w:rPr>
      </w:pPr>
      <w:r>
        <w:rPr>
          <w:smallCaps/>
        </w:rPr>
        <w:t>Le contrôle de l’évolution de systèmes chimiques</w:t>
      </w:r>
    </w:p>
    <w:p w:rsidR="00725E42" w:rsidRDefault="00725E42" w:rsidP="00725E42">
      <w:pPr>
        <w:pStyle w:val="Zkladntextodsazen2"/>
        <w:spacing w:before="120"/>
      </w:pPr>
      <w:r>
        <w:t>Changement de réactif ; exemples. Compétition entre deux réactions lors d’une transformation chimique ; exemples ; choix des conditions expérimentales. Catalyse et catalyseurs – Définitions – Propriétés – Exemples – Applications.</w:t>
      </w:r>
    </w:p>
    <w:p w:rsidR="00725E42" w:rsidRDefault="00725E42" w:rsidP="00725E42">
      <w:pPr>
        <w:spacing w:after="120"/>
        <w:ind w:left="720"/>
        <w:jc w:val="both"/>
        <w:rPr>
          <w:sz w:val="22"/>
        </w:rPr>
      </w:pPr>
    </w:p>
    <w:p w:rsidR="00725E42" w:rsidRDefault="00725E42" w:rsidP="00725E42">
      <w:pPr>
        <w:numPr>
          <w:ilvl w:val="0"/>
          <w:numId w:val="1"/>
        </w:numPr>
        <w:spacing w:before="120" w:after="120"/>
        <w:rPr>
          <w:smallCaps/>
        </w:rPr>
      </w:pPr>
      <w:r>
        <w:rPr>
          <w:smallCaps/>
        </w:rPr>
        <w:t>La géométrie des molécules : l’isomérie de constitution</w:t>
      </w:r>
    </w:p>
    <w:p w:rsidR="00725E42" w:rsidRDefault="00725E42" w:rsidP="00725E42">
      <w:pPr>
        <w:spacing w:before="120"/>
        <w:ind w:left="709" w:firstLine="5"/>
        <w:rPr>
          <w:sz w:val="22"/>
        </w:rPr>
      </w:pPr>
      <w:r>
        <w:rPr>
          <w:sz w:val="22"/>
        </w:rPr>
        <w:t>Isoméries de chaîne, de fonction et de position ; représentation topologique – Définitions – Exemples.</w:t>
      </w:r>
    </w:p>
    <w:p w:rsidR="00725E42" w:rsidRDefault="00725E42" w:rsidP="00725E42">
      <w:pPr>
        <w:spacing w:after="120"/>
        <w:ind w:left="357" w:firstLine="357"/>
        <w:rPr>
          <w:sz w:val="22"/>
        </w:rPr>
      </w:pPr>
    </w:p>
    <w:p w:rsidR="00725E42" w:rsidRDefault="00725E42" w:rsidP="00725E42">
      <w:pPr>
        <w:numPr>
          <w:ilvl w:val="0"/>
          <w:numId w:val="1"/>
        </w:numPr>
        <w:spacing w:before="120" w:after="120"/>
        <w:rPr>
          <w:smallCaps/>
        </w:rPr>
      </w:pPr>
      <w:r>
        <w:rPr>
          <w:smallCaps/>
        </w:rPr>
        <w:t>La géométrie des molécules : la stéréoisomérie</w:t>
      </w:r>
    </w:p>
    <w:p w:rsidR="00725E42" w:rsidRDefault="00725E42" w:rsidP="00725E42">
      <w:pPr>
        <w:spacing w:before="120" w:after="120"/>
        <w:ind w:left="709" w:firstLine="11"/>
        <w:rPr>
          <w:sz w:val="22"/>
        </w:rPr>
      </w:pPr>
      <w:r>
        <w:rPr>
          <w:sz w:val="22"/>
        </w:rPr>
        <w:t>Isoméries de configuration et de conformation – Définitions – Exemples – représentations topologiques et spatiales.</w:t>
      </w:r>
    </w:p>
    <w:p w:rsidR="00D562A1" w:rsidRPr="00353FA5" w:rsidRDefault="00D562A1" w:rsidP="00353FA5">
      <w:pPr>
        <w:rPr>
          <w:rFonts w:ascii="Dino_demoversion" w:hAnsi="Dino_demoversion"/>
        </w:rPr>
      </w:pPr>
    </w:p>
    <w:sectPr w:rsidR="00D562A1" w:rsidRPr="00353FA5" w:rsidSect="007B01C2">
      <w:headerReference w:type="default" r:id="rId8"/>
      <w:pgSz w:w="11906" w:h="16838"/>
      <w:pgMar w:top="851"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034" w:rsidRDefault="00F17034" w:rsidP="00EA5AA1">
      <w:r>
        <w:separator/>
      </w:r>
    </w:p>
  </w:endnote>
  <w:endnote w:type="continuationSeparator" w:id="0">
    <w:p w:rsidR="00F17034" w:rsidRDefault="00F17034" w:rsidP="00EA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Dino_demoversion">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034" w:rsidRDefault="00F17034" w:rsidP="00EA5AA1">
      <w:r>
        <w:separator/>
      </w:r>
    </w:p>
  </w:footnote>
  <w:footnote w:type="continuationSeparator" w:id="0">
    <w:p w:rsidR="00F17034" w:rsidRDefault="00F17034" w:rsidP="00EA5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C2" w:rsidRDefault="007B01C2">
    <w:pPr>
      <w:pStyle w:val="Zhlav"/>
    </w:pPr>
    <w:r>
      <w:rPr>
        <w:noProof/>
        <w:lang w:val="cs-CZ" w:eastAsia="cs-CZ"/>
      </w:rPr>
      <w:drawing>
        <wp:inline distT="0" distB="0" distL="0" distR="0">
          <wp:extent cx="2304000" cy="507600"/>
          <wp:effectExtent l="0" t="0" r="127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4000" cy="507600"/>
                  </a:xfrm>
                  <a:prstGeom prst="rect">
                    <a:avLst/>
                  </a:prstGeom>
                </pic:spPr>
              </pic:pic>
            </a:graphicData>
          </a:graphic>
        </wp:inline>
      </w:drawing>
    </w:r>
    <w:r>
      <w:br/>
    </w:r>
    <w:r>
      <w:br/>
    </w:r>
    <w:r>
      <w:br/>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11987"/>
    <w:multiLevelType w:val="hybridMultilevel"/>
    <w:tmpl w:val="E2B2776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A1"/>
    <w:rsid w:val="001B79C0"/>
    <w:rsid w:val="00353FA5"/>
    <w:rsid w:val="003F1DA0"/>
    <w:rsid w:val="004978A9"/>
    <w:rsid w:val="00560AB7"/>
    <w:rsid w:val="006C2BD2"/>
    <w:rsid w:val="00725E42"/>
    <w:rsid w:val="007B01C2"/>
    <w:rsid w:val="00A3181D"/>
    <w:rsid w:val="00AA5153"/>
    <w:rsid w:val="00C65B45"/>
    <w:rsid w:val="00CC5EC9"/>
    <w:rsid w:val="00CD7BB4"/>
    <w:rsid w:val="00D562A1"/>
    <w:rsid w:val="00EA5AA1"/>
    <w:rsid w:val="00F17034"/>
    <w:rsid w:val="00F25A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0B993"/>
  <w15:chartTrackingRefBased/>
  <w15:docId w15:val="{4661AAF7-CCF7-4F61-8885-10D3E344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5E42"/>
    <w:pPr>
      <w:spacing w:after="0" w:line="240" w:lineRule="auto"/>
    </w:pPr>
    <w:rPr>
      <w:rFonts w:ascii="Times New Roman" w:eastAsia="Times New Roman" w:hAnsi="Times New Roman" w:cs="Times New Roman"/>
      <w:sz w:val="24"/>
      <w:szCs w:val="24"/>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5AA1"/>
    <w:pPr>
      <w:tabs>
        <w:tab w:val="center" w:pos="4536"/>
        <w:tab w:val="right" w:pos="9072"/>
      </w:tabs>
    </w:pPr>
  </w:style>
  <w:style w:type="character" w:customStyle="1" w:styleId="ZhlavChar">
    <w:name w:val="Záhlaví Char"/>
    <w:basedOn w:val="Standardnpsmoodstavce"/>
    <w:link w:val="Zhlav"/>
    <w:uiPriority w:val="99"/>
    <w:rsid w:val="00EA5AA1"/>
  </w:style>
  <w:style w:type="paragraph" w:styleId="Zpat">
    <w:name w:val="footer"/>
    <w:basedOn w:val="Normln"/>
    <w:link w:val="ZpatChar"/>
    <w:uiPriority w:val="99"/>
    <w:unhideWhenUsed/>
    <w:rsid w:val="00EA5AA1"/>
    <w:pPr>
      <w:tabs>
        <w:tab w:val="center" w:pos="4536"/>
        <w:tab w:val="right" w:pos="9072"/>
      </w:tabs>
    </w:pPr>
  </w:style>
  <w:style w:type="character" w:customStyle="1" w:styleId="ZpatChar">
    <w:name w:val="Zápatí Char"/>
    <w:basedOn w:val="Standardnpsmoodstavce"/>
    <w:link w:val="Zpat"/>
    <w:uiPriority w:val="99"/>
    <w:rsid w:val="00EA5AA1"/>
  </w:style>
  <w:style w:type="paragraph" w:customStyle="1" w:styleId="Paragraphedeliste">
    <w:name w:val="Paragraphe de liste"/>
    <w:basedOn w:val="Normln"/>
    <w:qFormat/>
    <w:rsid w:val="00725E42"/>
    <w:pPr>
      <w:spacing w:after="200" w:line="276" w:lineRule="auto"/>
      <w:ind w:left="720"/>
    </w:pPr>
    <w:rPr>
      <w:rFonts w:ascii="Calibri" w:hAnsi="Calibri"/>
      <w:sz w:val="22"/>
      <w:szCs w:val="22"/>
    </w:rPr>
  </w:style>
  <w:style w:type="paragraph" w:styleId="Zkladntextodsazen">
    <w:name w:val="Body Text Indent"/>
    <w:basedOn w:val="Normln"/>
    <w:link w:val="ZkladntextodsazenChar"/>
    <w:semiHidden/>
    <w:rsid w:val="00725E42"/>
    <w:pPr>
      <w:spacing w:after="80" w:line="480" w:lineRule="auto"/>
      <w:ind w:left="360"/>
    </w:pPr>
    <w:rPr>
      <w:sz w:val="22"/>
      <w:lang w:val="cs-CZ"/>
    </w:rPr>
  </w:style>
  <w:style w:type="character" w:customStyle="1" w:styleId="ZkladntextodsazenChar">
    <w:name w:val="Základní text odsazený Char"/>
    <w:basedOn w:val="Standardnpsmoodstavce"/>
    <w:link w:val="Zkladntextodsazen"/>
    <w:semiHidden/>
    <w:rsid w:val="00725E42"/>
    <w:rPr>
      <w:rFonts w:ascii="Times New Roman" w:eastAsia="Times New Roman" w:hAnsi="Times New Roman" w:cs="Times New Roman"/>
      <w:szCs w:val="24"/>
      <w:lang w:eastAsia="fr-FR"/>
    </w:rPr>
  </w:style>
  <w:style w:type="paragraph" w:styleId="Zkladntextodsazen2">
    <w:name w:val="Body Text Indent 2"/>
    <w:basedOn w:val="Normln"/>
    <w:link w:val="Zkladntextodsazen2Char"/>
    <w:semiHidden/>
    <w:rsid w:val="00725E42"/>
    <w:pPr>
      <w:ind w:left="720"/>
      <w:jc w:val="both"/>
    </w:pPr>
    <w:rPr>
      <w:sz w:val="22"/>
    </w:rPr>
  </w:style>
  <w:style w:type="character" w:customStyle="1" w:styleId="Zkladntextodsazen2Char">
    <w:name w:val="Základní text odsazený 2 Char"/>
    <w:basedOn w:val="Standardnpsmoodstavce"/>
    <w:link w:val="Zkladntextodsazen2"/>
    <w:semiHidden/>
    <w:rsid w:val="00725E42"/>
    <w:rPr>
      <w:rFonts w:ascii="Times New Roman" w:eastAsia="Times New Roman" w:hAnsi="Times New Roman" w:cs="Times New Roman"/>
      <w:szCs w:val="24"/>
      <w:lang w:val="fr-FR" w:eastAsia="fr-FR"/>
    </w:rPr>
  </w:style>
  <w:style w:type="paragraph" w:styleId="Zkladntextodsazen3">
    <w:name w:val="Body Text Indent 3"/>
    <w:basedOn w:val="Normln"/>
    <w:link w:val="Zkladntextodsazen3Char"/>
    <w:semiHidden/>
    <w:rsid w:val="00725E42"/>
    <w:pPr>
      <w:ind w:left="360"/>
    </w:pPr>
  </w:style>
  <w:style w:type="character" w:customStyle="1" w:styleId="Zkladntextodsazen3Char">
    <w:name w:val="Základní text odsazený 3 Char"/>
    <w:basedOn w:val="Standardnpsmoodstavce"/>
    <w:link w:val="Zkladntextodsazen3"/>
    <w:semiHidden/>
    <w:rsid w:val="00725E42"/>
    <w:rPr>
      <w:rFonts w:ascii="Times New Roman" w:eastAsia="Times New Roman" w:hAnsi="Times New Roman" w:cs="Times New Roman"/>
      <w:sz w:val="24"/>
      <w:szCs w:val="24"/>
      <w:lang w:val="fr-FR" w:eastAsia="fr-FR"/>
    </w:rPr>
  </w:style>
  <w:style w:type="paragraph" w:styleId="Zkladntext2">
    <w:name w:val="Body Text 2"/>
    <w:basedOn w:val="Normln"/>
    <w:link w:val="Zkladntext2Char"/>
    <w:semiHidden/>
    <w:rsid w:val="00725E42"/>
    <w:rPr>
      <w:lang w:val="sk-SK" w:eastAsia="cs-CZ"/>
    </w:rPr>
  </w:style>
  <w:style w:type="character" w:customStyle="1" w:styleId="Zkladntext2Char">
    <w:name w:val="Základní text 2 Char"/>
    <w:basedOn w:val="Standardnpsmoodstavce"/>
    <w:link w:val="Zkladntext2"/>
    <w:semiHidden/>
    <w:rsid w:val="00725E42"/>
    <w:rPr>
      <w:rFonts w:ascii="Times New Roman" w:eastAsia="Times New Roman" w:hAnsi="Times New Roman" w:cs="Times New Roman"/>
      <w:sz w:val="24"/>
      <w:szCs w:val="24"/>
      <w:lang w:val="sk-SK" w:eastAsia="cs-CZ"/>
    </w:rPr>
  </w:style>
  <w:style w:type="paragraph" w:styleId="Zkladntext">
    <w:name w:val="Body Text"/>
    <w:basedOn w:val="Normln"/>
    <w:link w:val="ZkladntextChar"/>
    <w:semiHidden/>
    <w:rsid w:val="00725E42"/>
    <w:rPr>
      <w:sz w:val="22"/>
    </w:rPr>
  </w:style>
  <w:style w:type="character" w:customStyle="1" w:styleId="ZkladntextChar">
    <w:name w:val="Základní text Char"/>
    <w:basedOn w:val="Standardnpsmoodstavce"/>
    <w:link w:val="Zkladntext"/>
    <w:semiHidden/>
    <w:rsid w:val="00725E42"/>
    <w:rPr>
      <w:rFonts w:ascii="Times New Roman" w:eastAsia="Times New Roman" w:hAnsi="Times New Roman" w:cs="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E379-F5B2-4D60-A86B-23AFA308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FC5F8285</Template>
  <TotalTime>1</TotalTime>
  <Pages>3</Pages>
  <Words>984</Words>
  <Characters>5808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Věra Trebická</cp:lastModifiedBy>
  <cp:revision>3</cp:revision>
  <dcterms:created xsi:type="dcterms:W3CDTF">2018-10-04T09:17:00Z</dcterms:created>
  <dcterms:modified xsi:type="dcterms:W3CDTF">2018-10-04T09:27:00Z</dcterms:modified>
</cp:coreProperties>
</file>